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FCC2"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 1：参赛报名表</w:t>
      </w:r>
    </w:p>
    <w:p w14:paraId="72C89748">
      <w:pPr>
        <w:pStyle w:val="5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823"/>
        <w:gridCol w:w="765"/>
        <w:gridCol w:w="765"/>
        <w:gridCol w:w="1549"/>
        <w:gridCol w:w="666"/>
        <w:gridCol w:w="1420"/>
        <w:gridCol w:w="1838"/>
      </w:tblGrid>
      <w:tr w14:paraId="2550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C7FCF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A89B22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307EAB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3A4F08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CFDE91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3ED8B3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F1F03D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7EB1C9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参赛项目（团体赛 / 个人赛）</w:t>
            </w:r>
          </w:p>
        </w:tc>
      </w:tr>
      <w:tr w14:paraId="6785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59B690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777AA4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221EAA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05BD60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8B3886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05CDCC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71B495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B5ACA1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8D8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DB805B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E88A02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80E216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4CE608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28944D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2BF42A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84B088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F53698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669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ABF325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...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E4B98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CDE7EE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59AFB6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AC0504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B9E46E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649D33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322357">
            <w:pPr>
              <w:pStyle w:val="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5F16E01C"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</w:t>
      </w:r>
    </w:p>
    <w:p w14:paraId="024C82C8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个人赛仅限报名三分球大赛，需在 “参赛项目” 栏注明 “个人赛（三分球）”。</w:t>
      </w:r>
    </w:p>
    <w:p w14:paraId="366732FD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报名表需加盖单位公章，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需签字确认。</w:t>
      </w:r>
    </w:p>
    <w:p w14:paraId="5086019D">
      <w:pPr>
        <w:pStyle w:val="5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请各单位高度重视，积极组织报名及选拔工作，共同为展现我省监理行业风采、促进三省交流合作贡献力量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 w14:paraId="5A087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390D"/>
    <w:rsid w:val="0CD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2025-04-08T07:53:00Z</dcterms:created>
  <dc:creator>河南省建设监理协会</dc:creator>
  <cp:lastModifiedBy>河南省建设监理协会</cp:lastModifiedBy>
  <dcterms:modified xsi:type="dcterms:W3CDTF">2025-04-08T07:53:54Z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7CFFEF8C32AC4BE98CCEECD7C1C1266F_11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