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EC" w:rsidRPr="006B551A" w:rsidRDefault="006B551A" w:rsidP="006B551A">
      <w:pPr>
        <w:jc w:val="center"/>
        <w:rPr>
          <w:rFonts w:ascii="方正粗黑宋简体" w:eastAsia="方正粗黑宋简体" w:hAnsi="方正粗黑宋简体"/>
          <w:bCs/>
          <w:color w:val="323534"/>
          <w:sz w:val="44"/>
          <w:szCs w:val="44"/>
          <w:shd w:val="clear" w:color="auto" w:fill="FFFFFF"/>
        </w:rPr>
      </w:pPr>
      <w:r w:rsidRPr="006B551A">
        <w:rPr>
          <w:rFonts w:ascii="方正粗黑宋简体" w:eastAsia="方正粗黑宋简体" w:hAnsi="方正粗黑宋简体" w:hint="eastAsia"/>
          <w:bCs/>
          <w:color w:val="323534"/>
          <w:sz w:val="44"/>
          <w:szCs w:val="44"/>
          <w:shd w:val="clear" w:color="auto" w:fill="FFFFFF"/>
        </w:rPr>
        <w:t>财政部 税务总局关于进一步加大增值税期末留抵退税政策实施力度的公告</w:t>
      </w:r>
    </w:p>
    <w:p w:rsidR="006B551A" w:rsidRDefault="006B551A" w:rsidP="006B551A">
      <w:pPr>
        <w:jc w:val="center"/>
        <w:rPr>
          <w:rFonts w:asciiTheme="majorEastAsia" w:eastAsiaTheme="majorEastAsia" w:hAnsiTheme="majorEastAsia"/>
          <w:b/>
          <w:bCs/>
          <w:sz w:val="32"/>
          <w:szCs w:val="32"/>
          <w:shd w:val="clear" w:color="auto" w:fill="FFFFFF"/>
        </w:rPr>
      </w:pPr>
    </w:p>
    <w:p w:rsidR="006B551A" w:rsidRPr="006B551A" w:rsidRDefault="006B551A" w:rsidP="006B551A">
      <w:pPr>
        <w:jc w:val="center"/>
        <w:rPr>
          <w:rFonts w:asciiTheme="majorEastAsia" w:eastAsiaTheme="majorEastAsia" w:hAnsiTheme="majorEastAsia"/>
          <w:b/>
          <w:bCs/>
          <w:sz w:val="32"/>
          <w:szCs w:val="32"/>
          <w:shd w:val="clear" w:color="auto" w:fill="FFFFFF"/>
        </w:rPr>
      </w:pPr>
      <w:r w:rsidRPr="006B551A">
        <w:rPr>
          <w:rFonts w:asciiTheme="majorEastAsia" w:eastAsiaTheme="majorEastAsia" w:hAnsiTheme="majorEastAsia" w:hint="eastAsia"/>
          <w:b/>
          <w:bCs/>
          <w:sz w:val="32"/>
          <w:szCs w:val="32"/>
          <w:shd w:val="clear" w:color="auto" w:fill="FFFFFF"/>
        </w:rPr>
        <w:t>财政部 税务总局公告2022年第14号</w:t>
      </w:r>
    </w:p>
    <w:p w:rsidR="006B551A" w:rsidRDefault="006B551A" w:rsidP="006B551A">
      <w:pPr>
        <w:pStyle w:val="a3"/>
        <w:shd w:val="clear" w:color="auto" w:fill="FFFFFF"/>
        <w:spacing w:before="0" w:beforeAutospacing="0" w:after="0" w:afterAutospacing="0" w:line="328" w:lineRule="atLeast"/>
        <w:ind w:firstLine="480"/>
        <w:jc w:val="both"/>
        <w:rPr>
          <w:rFonts w:asciiTheme="majorEastAsia" w:eastAsiaTheme="majorEastAsia" w:hAnsiTheme="majorEastAsia"/>
          <w:color w:val="333333"/>
          <w:sz w:val="32"/>
          <w:szCs w:val="32"/>
        </w:rPr>
      </w:pP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为支持小微企业和制造业等行业发展，提振市场主体信心、激发市场主体活力，现将进一步加大增值税期末留抵退税实施力度有关政策公告如下：</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一、加大小微企业增值税期末留抵退税政策力度，将先进制造业按月全额退还增值税增量留抵税额政策范围扩大至符合条件的小微企业（含个体工商户，下同），并一次性退还小微企业存量留抵税额。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（一）符合条件的小微企业，可以自2022年4月纳税申报期起向主管税务机关申请退还增量留抵税额。在2022年12月31日前，退税条件按照本公告第三条规定执行。</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（二）符合条件的微型企业，可以自2022年4月纳税申报期起向主管税务机关申请一次性退还存量留抵税额；符合条件的小型企业，可以自2022年5月纳税申报期起向主管税务机关申请一次性退还存量留抵税额。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lastRenderedPageBreak/>
        <w:t>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（一）符合条件的制造业等行业企业，可以自2022年4月纳税申报期起向主管税务机关申请退还增量留抵税额。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三、适用本公告政策的纳税人需同时符合以下条件：</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（一）纳税信用等级为A级或者B级；</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（二）申请退税前36个月未发生骗取留抵退税、骗取出口退税或虚开增值税专用发票情形；</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（三）申请退税前36个月未因偷税被税务机关处罚两次及以上；</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lastRenderedPageBreak/>
        <w:t>（四）2019年4月1日起未享受即征即退、先征后返（退）政策。</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四、本公告所称增量留抵税额，区分以下情形确定：</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（一）纳税人获得一次性存量留抵退税前，增量留抵税额为当期期末留抵税额与2019年3月31日相比新增加的留抵税额。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（二）纳税人获得一次性存量留抵退税后，增量留抵税额为当期期末留抵税额。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五、本公告所称存量留抵税额，区分以下情形确定：</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（二）纳税人获得一次性存量留抵退税后，存量留抵税额为零。</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六、本公告所称中型企业、小型企业和微型企业，按照《中小企业划型标准规定》（工信部联企业〔2011〕300号）和《金融业企业划型标准规定》（银发〔2015〕309号）中的营业收入指标、资产总额指标确定。其中，资产总额指标</w:t>
      </w:r>
      <w:r w:rsidRPr="006B551A">
        <w:rPr>
          <w:rFonts w:asciiTheme="majorEastAsia" w:eastAsiaTheme="majorEastAsia" w:hAnsiTheme="majorEastAsia" w:hint="eastAsia"/>
          <w:color w:val="333333"/>
          <w:sz w:val="32"/>
          <w:szCs w:val="32"/>
        </w:rPr>
        <w:lastRenderedPageBreak/>
        <w:t>按照纳税人上一会计年度年末值确定。营业收入指标按照纳税人上一会计年度增值税销售额确定；不满一个会计年度的，按照以下公式计算：</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增值税销售额（年）=上一会计年度企业实际存续期间增值税销售额/企业实际存续月数×12</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本公告所称增值税销售额，包括纳税申报销售额、稽查查补销售额、纳税评估调整销售额。适用增值税差额征税政策的，以差额后的销售额确定。</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本公告所称大型企业，是指除上述中型企业、小型企业和微型企业外的其他企业。</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七、本公告所称制造业等行业企业，是指从事《国民经济行业分类》中“制造业”、“科学研究和技术服务业”、“电力、热力、燃气及水生产和供应业”、“软件和信息技</w:t>
      </w:r>
      <w:r w:rsidRPr="006B551A">
        <w:rPr>
          <w:rFonts w:asciiTheme="majorEastAsia" w:eastAsiaTheme="majorEastAsia" w:hAnsiTheme="majorEastAsia" w:hint="eastAsia"/>
          <w:color w:val="333333"/>
          <w:sz w:val="32"/>
          <w:szCs w:val="32"/>
        </w:rPr>
        <w:lastRenderedPageBreak/>
        <w:t>术服务业”、“生态保护和环境治理业”和“交通运输、仓储和邮政业”业务相应发生的增值税销售额占全部增值税销售额的比重超过50%的纳税人。</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上述销售额比重根据纳税人申请退税前连续12个月的销售额计算确定；申请退税前经营期不满12个月但满3个月的，按照实际经营期的销售额计算确定。</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八、适用本公告政策的纳税人，按照以下公式计算允许退还的留抵税额：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允许退还的增量留抵税额=增量留抵税额×进项构成比例×100%</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允许退还的存量留抵税额=存量留抵税额×进项构成比例×100%</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九、纳税人出口货物劳务、发生跨境应税行为，适用免抵退税办法的，应先办理免抵退税。免抵退税办理完毕后，</w:t>
      </w:r>
      <w:r w:rsidRPr="006B551A">
        <w:rPr>
          <w:rFonts w:asciiTheme="majorEastAsia" w:eastAsiaTheme="majorEastAsia" w:hAnsiTheme="majorEastAsia" w:hint="eastAsia"/>
          <w:color w:val="333333"/>
          <w:sz w:val="32"/>
          <w:szCs w:val="32"/>
        </w:rPr>
        <w:lastRenderedPageBreak/>
        <w:t>仍符合本公告规定条件的，可以申请退还留抵税额；适用免退税办法的，相关进项税额不得用于退还留抵税额。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纳税人自2019年4月1日起已享受增值税即征即退、先征后返（退）政策的，可以在2022年10月31日前一次性将已退还的增值税即征即退、先征后返（退）税款全部缴回后，按规定申请退还留抵税额。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一、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纳税人可以在规定期限内同时申请增量留抵退税和存量留抵退税。同时符合本公告第一条和第二条相关留抵退税政策的纳税人，可任意选择申请适用上述留抵退税政策。</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十二、纳税人取得退还的留抵税额后，应相应调减当期留抵税额。</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lastRenderedPageBreak/>
        <w:t>如果发现纳税人存在留抵退税政策适用有误的情形，纳税人应在下个纳税申报期结束前缴回相关留抵退税款。</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以虚增进项、虚假申报或其他欺骗手段，骗取留抵退税款的，由税务机关追缴其骗取的退税款，并按照《中华人民共和国税收征收管理法》等有关规定处理。</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十三、适用本公告规定留抵退税政策的纳税人办理留抵退税的税收管理事项，继续按照现行规定执行。</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十四、除上述纳税人以外的其他纳税人申请退还增量留抵税额的规定，继续按照《财政部 税务总局 海关总署关于深化增值税改革有关政策的公告》（财政部 税务总局 海关总署公告2019年第39号）执行，其中，第八条第三款关于“进项构成比例”的相关规定，按照本公告第八条规定执行。</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五、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十六、本公告自2022年4月1日施行。《财政部 税务总局关于明确部分先进制造业增值税期末留抵退税政策的</w:t>
      </w:r>
      <w:r w:rsidRPr="006B551A">
        <w:rPr>
          <w:rFonts w:asciiTheme="majorEastAsia" w:eastAsiaTheme="majorEastAsia" w:hAnsiTheme="majorEastAsia" w:hint="eastAsia"/>
          <w:color w:val="333333"/>
          <w:sz w:val="32"/>
          <w:szCs w:val="32"/>
        </w:rPr>
        <w:lastRenderedPageBreak/>
        <w:t>公告》（财政部 税务总局公告2019年第84号）、《财政部 税务总局关于明确国有农用地出租等增值税政策的公告》（财政部 税务总局公告2020年第2号）第六条、《财政部 税务总局关于明确先进制造业增值税期末留抵退税政策的公告》（财政部 税务总局公告2021年第15号）同时废止。</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特此公告。</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财政部 税务总局</w:t>
      </w:r>
    </w:p>
    <w:p w:rsidR="006B551A" w:rsidRPr="006B551A" w:rsidRDefault="006B551A" w:rsidP="009A5143">
      <w:pPr>
        <w:pStyle w:val="a3"/>
        <w:shd w:val="clear" w:color="auto" w:fill="FFFFFF"/>
        <w:spacing w:before="0" w:beforeAutospacing="0" w:after="0" w:afterAutospacing="0" w:line="680" w:lineRule="exact"/>
        <w:ind w:firstLine="482"/>
        <w:rPr>
          <w:rFonts w:asciiTheme="majorEastAsia" w:eastAsiaTheme="majorEastAsia" w:hAnsiTheme="majorEastAsia"/>
          <w:color w:val="333333"/>
          <w:sz w:val="32"/>
          <w:szCs w:val="32"/>
        </w:rPr>
      </w:pPr>
      <w:r w:rsidRPr="006B551A">
        <w:rPr>
          <w:rFonts w:asciiTheme="majorEastAsia" w:eastAsiaTheme="majorEastAsia" w:hAnsiTheme="majorEastAsia" w:hint="eastAsia"/>
          <w:color w:val="333333"/>
          <w:sz w:val="32"/>
          <w:szCs w:val="32"/>
        </w:rPr>
        <w:t>2022年3月21日</w:t>
      </w:r>
    </w:p>
    <w:p w:rsidR="006B551A" w:rsidRPr="006B551A" w:rsidRDefault="006B551A">
      <w:pPr>
        <w:rPr>
          <w:rFonts w:asciiTheme="majorEastAsia" w:eastAsiaTheme="majorEastAsia" w:hAnsiTheme="majorEastAsia"/>
          <w:sz w:val="32"/>
          <w:szCs w:val="32"/>
        </w:rPr>
      </w:pPr>
    </w:p>
    <w:sectPr w:rsidR="006B551A" w:rsidRPr="006B551A" w:rsidSect="00EE7EE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B3" w:rsidRDefault="000132B3" w:rsidP="009A5143">
      <w:r>
        <w:separator/>
      </w:r>
    </w:p>
  </w:endnote>
  <w:endnote w:type="continuationSeparator" w:id="1">
    <w:p w:rsidR="000132B3" w:rsidRDefault="000132B3" w:rsidP="009A5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43" w:rsidRDefault="009A51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01563"/>
      <w:docPartObj>
        <w:docPartGallery w:val="Page Numbers (Bottom of Page)"/>
        <w:docPartUnique/>
      </w:docPartObj>
    </w:sdtPr>
    <w:sdtContent>
      <w:p w:rsidR="009A5143" w:rsidRDefault="009A5143">
        <w:pPr>
          <w:pStyle w:val="a5"/>
          <w:jc w:val="center"/>
        </w:pPr>
        <w:fldSimple w:instr=" PAGE   \* MERGEFORMAT ">
          <w:r w:rsidRPr="009A5143">
            <w:rPr>
              <w:noProof/>
              <w:lang w:val="zh-CN"/>
            </w:rPr>
            <w:t>8</w:t>
          </w:r>
        </w:fldSimple>
      </w:p>
    </w:sdtContent>
  </w:sdt>
  <w:p w:rsidR="009A5143" w:rsidRDefault="009A51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43" w:rsidRDefault="009A51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B3" w:rsidRDefault="000132B3" w:rsidP="009A5143">
      <w:r>
        <w:separator/>
      </w:r>
    </w:p>
  </w:footnote>
  <w:footnote w:type="continuationSeparator" w:id="1">
    <w:p w:rsidR="000132B3" w:rsidRDefault="000132B3" w:rsidP="009A5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43" w:rsidRDefault="009A51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43" w:rsidRDefault="009A514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43" w:rsidRDefault="009A514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51A"/>
    <w:rsid w:val="000132B3"/>
    <w:rsid w:val="004C2B1E"/>
    <w:rsid w:val="006B551A"/>
    <w:rsid w:val="00781F16"/>
    <w:rsid w:val="009A5143"/>
    <w:rsid w:val="00D21FF3"/>
    <w:rsid w:val="00EE7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51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A5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5143"/>
    <w:rPr>
      <w:sz w:val="18"/>
      <w:szCs w:val="18"/>
    </w:rPr>
  </w:style>
  <w:style w:type="paragraph" w:styleId="a5">
    <w:name w:val="footer"/>
    <w:basedOn w:val="a"/>
    <w:link w:val="Char0"/>
    <w:uiPriority w:val="99"/>
    <w:unhideWhenUsed/>
    <w:rsid w:val="009A5143"/>
    <w:pPr>
      <w:tabs>
        <w:tab w:val="center" w:pos="4153"/>
        <w:tab w:val="right" w:pos="8306"/>
      </w:tabs>
      <w:snapToGrid w:val="0"/>
      <w:jc w:val="left"/>
    </w:pPr>
    <w:rPr>
      <w:sz w:val="18"/>
      <w:szCs w:val="18"/>
    </w:rPr>
  </w:style>
  <w:style w:type="character" w:customStyle="1" w:styleId="Char0">
    <w:name w:val="页脚 Char"/>
    <w:basedOn w:val="a0"/>
    <w:link w:val="a5"/>
    <w:uiPriority w:val="99"/>
    <w:rsid w:val="009A5143"/>
    <w:rPr>
      <w:sz w:val="18"/>
      <w:szCs w:val="18"/>
    </w:rPr>
  </w:style>
</w:styles>
</file>

<file path=word/webSettings.xml><?xml version="1.0" encoding="utf-8"?>
<w:webSettings xmlns:r="http://schemas.openxmlformats.org/officeDocument/2006/relationships" xmlns:w="http://schemas.openxmlformats.org/wordprocessingml/2006/main">
  <w:divs>
    <w:div w:id="1021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2022-05-10T09:02:00Z</dcterms:created>
  <dcterms:modified xsi:type="dcterms:W3CDTF">2022-05-10T09:12:00Z</dcterms:modified>
</cp:coreProperties>
</file>