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beforeLines="50" w:after="143" w:afterLines="50"/>
        <w:jc w:val="left"/>
        <w:rPr>
          <w:rFonts w:hint="eastAsia" w:ascii="楷体_GB2312" w:hAnsi="华文楷体" w:eastAsia="楷体_GB2312"/>
          <w:sz w:val="32"/>
          <w:szCs w:val="32"/>
        </w:rPr>
      </w:pPr>
      <w:r>
        <w:rPr>
          <w:rFonts w:hint="eastAsia" w:ascii="楷体_GB2312" w:hAnsi="华文楷体" w:eastAsia="楷体_GB2312"/>
          <w:sz w:val="32"/>
          <w:szCs w:val="32"/>
        </w:rPr>
        <w:t>监理类骨干企业</w:t>
      </w:r>
    </w:p>
    <w:tbl>
      <w:tblPr>
        <w:tblStyle w:val="3"/>
        <w:tblW w:w="9125" w:type="dxa"/>
        <w:jc w:val="center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4060"/>
        <w:gridCol w:w="3224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2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企业资质类别及等级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郑州中兴工程监理有限公司</w:t>
            </w:r>
          </w:p>
        </w:tc>
        <w:tc>
          <w:tcPr>
            <w:tcW w:w="32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工程综合监理资质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4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河南立新监理咨询有限公司</w:t>
            </w:r>
          </w:p>
        </w:tc>
        <w:tc>
          <w:tcPr>
            <w:tcW w:w="32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工程综合监理资质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4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河南长城铁路工程建设咨询有限公司</w:t>
            </w:r>
          </w:p>
        </w:tc>
        <w:tc>
          <w:tcPr>
            <w:tcW w:w="32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市政公用工程甲级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房屋建筑工程甲级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铁路工程甲级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公路工程甲级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机电安装工程甲级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40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河南新恒丰建设监理有限公司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工程综合监理资质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40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河南卓越工程管理有限公司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工程综合监理资质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40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河南建基工程管理有限公司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工程综合监理资质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6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40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郑州恒基建设监理有限公司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房屋建筑工程甲级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市政公用工程甲级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机电安装工程乙级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公路工程乙级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人防工程丙级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6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40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河南宏业建设管理有限公司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房屋建筑工程甲级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市政公用工程甲级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机电安装工程甲级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化工石油工程乙级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电力工程乙级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6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40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河南海华工程建设监理公司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房屋建筑工程甲级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市政公用工程甲级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冶炼工程乙级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矿山工程乙级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公路工程乙级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机电安装工程乙级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河南诚信工程管理有限公司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房屋建筑工程甲级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市政公用工程甲级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河南省万安工程建设监理有限公司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房屋建筑工程甲级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市政公用工程甲级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水利水电工程乙级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公路工程乙级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郑州中原铁道建设工程监理有限公司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市政公用工程甲级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房屋建筑工程甲级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铁路工程甲级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公路工程甲级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通信工程监理乙级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6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河南建达工程建设监理公司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房屋建筑工程甲级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市政公用工程甲级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化工石油工程乙级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机电安装工程乙级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公路工程乙级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人防工程丙级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中汽智达（洛阳）建设监理有限公司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工程综合监理资质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洛阳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郑州市豫通市政公用工程监理有限公司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房屋建筑工程甲级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市政公用工程甲级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水利水电工程乙级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6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河南创达建设工程管理有限公司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市政公用工程甲级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房屋建筑工程甲级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化工石油工程乙级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公路工程乙级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机电安装工程乙级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水利水电工程丙级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6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河南方大建设工程管理有限公司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房屋建筑工程甲级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市政公用工程甲级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水利水电工程乙级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化工石油工程乙级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机电安装工程乙级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6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河南清鸿建设咨询有限公司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房屋建筑工程甲级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市政公用工程甲级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水利水电工程乙级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电力工程乙级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公路工程乙级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化工石油工程乙级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人防工程乙级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招标代理乙级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政府采购代理乙级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河南正博建设监理有限公司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房屋建筑工程甲级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机电安装工程乙级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洛阳石化工程建设集团有限责任公司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化工石油工程甲级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市政公用工程甲级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房屋建筑工程甲级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洛阳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163BB"/>
    <w:rsid w:val="71E163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2016-07-29T03:38:00Z</dcterms:created>
  <dc:creator>Administrator</dc:creator>
  <cp:lastModifiedBy>Administrator</cp:lastModifiedBy>
  <dcterms:modified xsi:type="dcterms:W3CDTF">2016-07-29T03:38:27Z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